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center"/>
        <w:outlineLvl w:val="9"/>
        <w:rPr>
          <w:rFonts w:hint="eastAsia" w:ascii="方正小标宋简体" w:hAnsi="方正小标宋简体" w:eastAsia="方正小标宋简体" w:cs="方正小标宋简体"/>
          <w:b w:val="0"/>
          <w:bCs w:val="0"/>
          <w:sz w:val="44"/>
          <w:szCs w:val="44"/>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15.</w:t>
      </w:r>
      <w:r>
        <w:rPr>
          <w:rFonts w:hint="eastAsia" w:ascii="方正小标宋简体" w:hAnsi="方正小标宋简体" w:eastAsia="方正小标宋简体" w:cs="方正小标宋简体"/>
          <w:b w:val="0"/>
          <w:bCs w:val="0"/>
          <w:sz w:val="44"/>
          <w:szCs w:val="44"/>
        </w:rPr>
        <w:t>工程建设涉及城市绿地、树木审批事中事后监管细则</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_GB2312" w:hAnsi="仿宋" w:eastAsia="仿宋_GB2312" w:cs="仿宋_GB2312"/>
          <w:sz w:val="32"/>
          <w:szCs w:val="32"/>
          <w:lang w:val="zh-CN"/>
        </w:rPr>
      </w:pP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hAnsi="宋体" w:eastAsia="仿宋_GB2312"/>
          <w:sz w:val="32"/>
          <w:szCs w:val="32"/>
        </w:rPr>
      </w:pPr>
      <w:r>
        <w:rPr>
          <w:rFonts w:hint="eastAsia" w:ascii="仿宋_GB2312" w:hAnsi="仿宋" w:eastAsia="仿宋_GB2312" w:cs="仿宋_GB2312"/>
          <w:sz w:val="32"/>
          <w:szCs w:val="32"/>
          <w:lang w:val="zh-CN"/>
        </w:rPr>
        <w:t>为深入推进简政放权、放管结合、优化服务，加工程建设涉及城市绿地、树木审批事中事后强事中事后监管工作，规范行政行为，根据相关法律法规</w:t>
      </w:r>
      <w:r>
        <w:rPr>
          <w:rFonts w:hint="eastAsia" w:ascii="仿宋_GB2312" w:hAnsi="宋体" w:eastAsia="仿宋_GB2312"/>
          <w:sz w:val="32"/>
          <w:szCs w:val="32"/>
        </w:rPr>
        <w:t>和</w:t>
      </w:r>
      <w:r>
        <w:rPr>
          <w:rFonts w:hint="eastAsia" w:ascii="仿宋_GB2312" w:hAnsi="仿宋" w:eastAsia="仿宋_GB2312" w:cs="仿宋_GB2312"/>
          <w:sz w:val="32"/>
          <w:szCs w:val="32"/>
          <w:lang w:val="zh-CN"/>
        </w:rPr>
        <w:t>《安徽省住房和城乡建设厅行政权力运行监管细则》</w:t>
      </w:r>
      <w:r>
        <w:rPr>
          <w:rFonts w:hint="eastAsia" w:ascii="仿宋_GB2312" w:hAnsi="宋体" w:eastAsia="仿宋_GB2312"/>
          <w:sz w:val="32"/>
          <w:szCs w:val="32"/>
        </w:rPr>
        <w:t>，结合实际，制定本监管细则。</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eastAsia="仿宋_GB2312"/>
          <w:sz w:val="32"/>
          <w:szCs w:val="32"/>
        </w:rPr>
      </w:pPr>
      <w:r>
        <w:rPr>
          <w:rFonts w:hint="eastAsia" w:ascii="仿宋_GB2312" w:hAnsi="宋体" w:eastAsia="仿宋_GB2312"/>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宋体" w:eastAsia="仿宋_GB2312"/>
          <w:sz w:val="32"/>
          <w:szCs w:val="32"/>
          <w:lang w:eastAsia="zh-CN"/>
        </w:rPr>
        <w:t>第</w:t>
      </w:r>
      <w:r>
        <w:rPr>
          <w:rFonts w:hint="eastAsia" w:ascii="仿宋_GB2312" w:hAnsi="宋体" w:eastAsia="仿宋_GB2312"/>
          <w:sz w:val="32"/>
          <w:szCs w:val="32"/>
          <w:lang w:val="en-US" w:eastAsia="zh-CN"/>
        </w:rPr>
        <w:t>15项</w:t>
      </w:r>
      <w:r>
        <w:rPr>
          <w:rFonts w:hint="eastAsia" w:ascii="仿宋_GB2312" w:hAnsi="宋体" w:eastAsia="仿宋_GB2312"/>
          <w:sz w:val="32"/>
          <w:szCs w:val="32"/>
        </w:rPr>
        <w:t>，权</w:t>
      </w:r>
      <w:r>
        <w:rPr>
          <w:rFonts w:hint="eastAsia" w:ascii="仿宋_GB2312" w:eastAsia="仿宋_GB2312"/>
          <w:sz w:val="32"/>
          <w:szCs w:val="32"/>
        </w:rPr>
        <w:t>力类型：行政许可，项目名称：</w:t>
      </w:r>
      <w:r>
        <w:rPr>
          <w:rFonts w:hint="eastAsia" w:ascii="仿宋_GB2312" w:eastAsia="仿宋_GB2312"/>
          <w:sz w:val="32"/>
          <w:szCs w:val="32"/>
          <w:lang w:eastAsia="zh-CN"/>
        </w:rPr>
        <w:t>工程建设涉及城市绿地、树木</w:t>
      </w:r>
      <w:r>
        <w:rPr>
          <w:rFonts w:hint="eastAsia" w:ascii="仿宋_GB2312" w:eastAsia="仿宋_GB2312"/>
          <w:sz w:val="32"/>
          <w:szCs w:val="32"/>
        </w:rPr>
        <w:t>审批。</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黑体" w:hAnsi="宋体" w:eastAsia="黑体"/>
          <w:sz w:val="32"/>
          <w:szCs w:val="32"/>
        </w:rPr>
      </w:pPr>
      <w:r>
        <w:rPr>
          <w:rFonts w:hint="eastAsia" w:ascii="黑体" w:hAnsi="宋体" w:eastAsia="黑体"/>
          <w:sz w:val="32"/>
          <w:szCs w:val="32"/>
        </w:rPr>
        <w:t>一、基本原则</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黑体" w:hAnsi="宋体" w:eastAsia="黑体"/>
          <w:sz w:val="32"/>
          <w:szCs w:val="32"/>
        </w:rPr>
      </w:pPr>
      <w:r>
        <w:rPr>
          <w:rFonts w:hint="eastAsia" w:ascii="黑体" w:hAnsi="宋体" w:eastAsia="黑体"/>
          <w:sz w:val="32"/>
          <w:szCs w:val="32"/>
        </w:rPr>
        <w:t>二、事中监管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（一）监管任务</w:t>
      </w:r>
    </w:p>
    <w:p>
      <w:pPr>
        <w:keepNext w:val="0"/>
        <w:keepLines w:val="0"/>
        <w:pageBreakBefore w:val="0"/>
        <w:widowControl w:val="0"/>
        <w:kinsoku/>
        <w:wordWrap/>
        <w:overflowPunct/>
        <w:topLinePunct w:val="0"/>
        <w:bidi w:val="0"/>
        <w:snapToGrid/>
        <w:spacing w:line="560" w:lineRule="exact"/>
        <w:ind w:firstLine="720" w:firstLineChars="225"/>
        <w:outlineLvl w:val="9"/>
        <w:rPr>
          <w:rFonts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.县住房和城乡建设局</w:t>
      </w:r>
      <w:r>
        <w:rPr>
          <w:rFonts w:hint="eastAsia" w:ascii="仿宋_GB2312" w:hAnsi="宋体" w:eastAsia="仿宋_GB2312"/>
          <w:sz w:val="32"/>
          <w:szCs w:val="32"/>
        </w:rPr>
        <w:t>负责</w:t>
      </w:r>
      <w:r>
        <w:rPr>
          <w:rFonts w:hint="eastAsia" w:ascii="仿宋_GB2312" w:hAnsi="宋体" w:eastAsia="仿宋_GB2312"/>
          <w:sz w:val="32"/>
          <w:szCs w:val="32"/>
          <w:lang w:eastAsia="zh-CN"/>
        </w:rPr>
        <w:t>监管</w:t>
      </w:r>
      <w:r>
        <w:rPr>
          <w:rFonts w:hint="eastAsia" w:ascii="仿宋_GB2312" w:hAnsi="宋体" w:eastAsia="仿宋_GB2312"/>
          <w:sz w:val="32"/>
          <w:szCs w:val="32"/>
        </w:rPr>
        <w:t>主、次干道及街头绿地、游园、公园、广场的绿化苗木、绿化设施建设、管理和维护。</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cs="Arial"/>
          <w:color w:val="333333"/>
          <w:sz w:val="32"/>
          <w:szCs w:val="32"/>
          <w:shd w:val="clear" w:color="auto" w:fill="FFFFFF"/>
        </w:rPr>
        <w:t>2</w:t>
      </w:r>
      <w:r>
        <w:rPr>
          <w:rFonts w:hint="eastAsia" w:ascii="仿宋_GB2312" w:hAnsi="宋体" w:eastAsia="仿宋_GB2312" w:cs="Arial"/>
          <w:color w:val="333333"/>
          <w:sz w:val="32"/>
          <w:szCs w:val="32"/>
          <w:shd w:val="clear" w:color="auto" w:fill="FFFFFF"/>
          <w:lang w:eastAsia="zh-CN"/>
        </w:rPr>
        <w:t>.</w:t>
      </w:r>
      <w:r>
        <w:rPr>
          <w:rFonts w:hint="eastAsia" w:ascii="仿宋_GB2312" w:hAnsi="宋体" w:eastAsia="仿宋_GB2312"/>
          <w:sz w:val="32"/>
          <w:szCs w:val="32"/>
          <w:lang w:val="zh-CN"/>
        </w:rPr>
        <w:t>是否依法组织报批。</w:t>
      </w:r>
      <w:r>
        <w:rPr>
          <w:rFonts w:hint="eastAsia" w:ascii="仿宋_GB2312" w:hAnsi="宋体" w:eastAsia="仿宋_GB2312"/>
          <w:sz w:val="32"/>
          <w:szCs w:val="32"/>
        </w:rPr>
        <w:t>政务中心窗口</w:t>
      </w:r>
      <w:r>
        <w:rPr>
          <w:rFonts w:hint="eastAsia" w:ascii="仿宋_GB2312" w:hAnsi="宋体" w:eastAsia="仿宋_GB2312"/>
          <w:sz w:val="32"/>
          <w:szCs w:val="32"/>
          <w:lang w:val="zh-CN"/>
        </w:rPr>
        <w:t>受理</w:t>
      </w:r>
      <w:r>
        <w:rPr>
          <w:rFonts w:hint="eastAsia" w:ascii="仿宋_GB2312" w:eastAsia="仿宋_GB2312"/>
          <w:sz w:val="32"/>
          <w:szCs w:val="32"/>
          <w:lang w:eastAsia="zh-CN"/>
        </w:rPr>
        <w:t>工程建设涉及城市绿地、树木</w:t>
      </w:r>
      <w:r>
        <w:rPr>
          <w:rFonts w:hint="eastAsia" w:ascii="仿宋_GB2312" w:hAnsi="宋体" w:eastAsia="仿宋_GB2312"/>
          <w:sz w:val="32"/>
          <w:szCs w:val="32"/>
          <w:lang w:val="zh-CN"/>
        </w:rPr>
        <w:t>申请后，园林绿化管理部门对当事人申报材料进行审核，自受理之日起3个工作日内完成审查并作出决定。</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（二）监督检查程序</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1、制定监督检查方案。县住建局制定现场监督检查方案，具体内容应包括现场监督检查的时间、人员及分工、监督检查的标准和内容等。</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2、实施现场检查。县住建局具体负责施工现场的监督检查，每月检查应不少于3次，监督检查人员应不少于2人，随机抽取。监督检查前应出示执法证件，根据申请报事项采取现场勘验、询问申请人（单位）、询问利害关系人等方式。</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3、监督检查结果。对监督检查中发现的主要问题，监督检查人员提出整改建议及整改期限，以事中监管反馈意见单的形式告知申请人（单位），检查人员和申请人（单位）签字等。</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4、发现违法行为后依法处置。对申请人（单位）隐瞒有关事实或提供虚假材料的，应依法下达不予受理通知书或不予行政许可决定书，并给予警告，符合立案条件的进行立案，依法进行行政处罚。</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5、按照法定程序和要求公布监管信息。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宋体" w:eastAsia="仿宋_GB2312"/>
          <w:sz w:val="32"/>
          <w:szCs w:val="32"/>
          <w:lang w:val="zh-CN"/>
        </w:rPr>
      </w:pPr>
      <w:r>
        <w:rPr>
          <w:rFonts w:hint="eastAsia" w:ascii="仿宋_GB2312" w:hAnsi="宋体" w:eastAsia="仿宋_GB2312"/>
          <w:sz w:val="32"/>
          <w:szCs w:val="32"/>
          <w:lang w:val="zh-CN"/>
        </w:rPr>
        <w:t>（三）施工现场检查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宋体" w:eastAsia="仿宋_GB2312"/>
          <w:sz w:val="32"/>
          <w:szCs w:val="32"/>
          <w:lang w:val="zh-CN"/>
        </w:rPr>
      </w:pPr>
      <w:r>
        <w:rPr>
          <w:rFonts w:hint="eastAsia" w:ascii="仿宋_GB2312" w:hAnsi="宋体" w:eastAsia="仿宋_GB2312"/>
          <w:sz w:val="32"/>
          <w:szCs w:val="32"/>
          <w:lang w:val="zh-CN"/>
        </w:rPr>
        <w:t>1、申请人（单位）身份是否合法。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宋体" w:eastAsia="仿宋_GB2312"/>
          <w:sz w:val="32"/>
          <w:szCs w:val="32"/>
          <w:lang w:val="zh-CN"/>
        </w:rPr>
      </w:pPr>
      <w:r>
        <w:rPr>
          <w:rFonts w:hint="eastAsia" w:ascii="仿宋_GB2312" w:hAnsi="宋体" w:eastAsia="仿宋_GB2312"/>
          <w:sz w:val="32"/>
          <w:szCs w:val="32"/>
          <w:lang w:val="zh-CN"/>
        </w:rPr>
        <w:t>2、申请事项的主要理由、施工地点、施工期限等是否属实充分。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宋体" w:eastAsia="仿宋_GB2312"/>
          <w:sz w:val="32"/>
          <w:szCs w:val="32"/>
          <w:lang w:val="zh-CN"/>
        </w:rPr>
      </w:pPr>
      <w:r>
        <w:rPr>
          <w:rFonts w:hint="eastAsia" w:ascii="仿宋_GB2312" w:hAnsi="宋体" w:eastAsia="仿宋_GB2312"/>
          <w:sz w:val="32"/>
          <w:szCs w:val="32"/>
          <w:lang w:val="zh-CN"/>
        </w:rPr>
        <w:t>3、是否按自然资源和规划局审批意见以及外观效果图要求规范施工，施工结束后是否按要求进行恢复。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宋体" w:eastAsia="仿宋_GB2312"/>
          <w:sz w:val="32"/>
          <w:szCs w:val="32"/>
          <w:lang w:val="zh-CN"/>
        </w:rPr>
      </w:pPr>
      <w:r>
        <w:rPr>
          <w:rFonts w:hint="eastAsia" w:ascii="仿宋_GB2312" w:hAnsi="宋体" w:eastAsia="仿宋_GB2312"/>
          <w:sz w:val="32"/>
          <w:szCs w:val="32"/>
          <w:lang w:val="zh-CN"/>
        </w:rPr>
        <w:t>4、对绿地苗木造成损坏的，是否提交了补偿方案。</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（四）结果反馈</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县住建局作出准予许可或不予许可的决定；按时办结；法定告知。准予许可出具《行政许可决定书》，送达并信息公开。</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（五）信用监管</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申请人（单位）在取得许可决定后，应按许可决定要求，保质保量按期完成。</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（六）协同监管</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lang w:val="zh-CN"/>
        </w:rPr>
      </w:pPr>
      <w:r>
        <w:rPr>
          <w:rFonts w:hint="eastAsia" w:ascii="仿宋_GB2312" w:hAnsi="宋体" w:eastAsia="仿宋_GB2312"/>
          <w:sz w:val="32"/>
          <w:szCs w:val="32"/>
          <w:lang w:val="zh-CN"/>
        </w:rPr>
        <w:t>按照权责匹配、权责一致的原则，加强县住建局与当地公安、自然资源和规划等部门的沟通与协作，推进监管信息互联互通，</w:t>
      </w:r>
      <w:r>
        <w:rPr>
          <w:rFonts w:hint="eastAsia" w:ascii="仿宋_GB2312" w:hAnsi="宋体" w:eastAsia="仿宋_GB2312"/>
          <w:sz w:val="32"/>
          <w:szCs w:val="32"/>
        </w:rPr>
        <w:t>建立联动监管机制。</w:t>
      </w:r>
    </w:p>
    <w:p>
      <w:pPr>
        <w:keepNext w:val="0"/>
        <w:keepLines w:val="0"/>
        <w:pageBreakBefore w:val="0"/>
        <w:widowControl w:val="0"/>
        <w:kinsoku/>
        <w:wordWrap/>
        <w:overflowPunct/>
        <w:topLinePunct w:val="0"/>
        <w:bidi w:val="0"/>
        <w:snapToGrid/>
        <w:spacing w:line="560" w:lineRule="exact"/>
        <w:ind w:firstLine="640" w:firstLineChars="200"/>
        <w:outlineLvl w:val="9"/>
        <w:rPr>
          <w:rFonts w:ascii="黑体" w:hAnsi="宋体" w:eastAsia="黑体"/>
          <w:color w:val="000000"/>
          <w:kern w:val="0"/>
          <w:sz w:val="32"/>
          <w:szCs w:val="32"/>
          <w:lang w:val="zh-CN"/>
        </w:rPr>
      </w:pPr>
      <w:r>
        <w:rPr>
          <w:rFonts w:hint="eastAsia" w:ascii="黑体" w:hAnsi="宋体" w:eastAsia="黑体"/>
          <w:color w:val="000000"/>
          <w:kern w:val="0"/>
          <w:sz w:val="32"/>
          <w:szCs w:val="32"/>
          <w:lang w:val="zh-CN"/>
        </w:rPr>
        <w:t>三、事后监管</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hAnsi="仿宋" w:eastAsia="仿宋_GB2312" w:cs="仿宋_GB2312"/>
          <w:sz w:val="32"/>
          <w:szCs w:val="32"/>
          <w:lang w:val="zh-CN"/>
        </w:rPr>
      </w:pPr>
      <w:r>
        <w:rPr>
          <w:rFonts w:hint="eastAsia" w:ascii="仿宋_GB2312" w:hAnsi="宋体" w:eastAsia="仿宋_GB2312"/>
          <w:color w:val="000000"/>
          <w:kern w:val="0"/>
          <w:sz w:val="32"/>
          <w:szCs w:val="32"/>
          <w:lang w:val="zh-CN"/>
        </w:rPr>
        <w:t>（一）</w:t>
      </w:r>
      <w:r>
        <w:rPr>
          <w:rFonts w:hint="eastAsia" w:ascii="仿宋_GB2312" w:hAnsi="仿宋" w:eastAsia="仿宋_GB2312" w:cs="仿宋_GB2312"/>
          <w:sz w:val="32"/>
          <w:szCs w:val="32"/>
          <w:lang w:val="zh-CN"/>
        </w:rPr>
        <w:t>任何单位和个人发现</w:t>
      </w:r>
      <w:r>
        <w:rPr>
          <w:rFonts w:hint="eastAsia" w:ascii="仿宋_GB2312" w:hAnsi="宋体" w:eastAsia="仿宋_GB2312"/>
          <w:color w:val="000000"/>
          <w:kern w:val="0"/>
          <w:sz w:val="32"/>
          <w:szCs w:val="32"/>
          <w:lang w:val="zh-CN"/>
        </w:rPr>
        <w:t>在</w:t>
      </w:r>
      <w:r>
        <w:rPr>
          <w:rFonts w:hint="eastAsia" w:ascii="仿宋_GB2312" w:eastAsia="仿宋_GB2312"/>
          <w:sz w:val="32"/>
          <w:szCs w:val="32"/>
          <w:lang w:eastAsia="zh-CN"/>
        </w:rPr>
        <w:t>工程建设涉及城市绿地、树木</w:t>
      </w:r>
      <w:r>
        <w:rPr>
          <w:rFonts w:hint="eastAsia" w:ascii="仿宋_GB2312" w:hAnsi="宋体" w:eastAsia="仿宋_GB2312"/>
          <w:color w:val="000000"/>
          <w:kern w:val="0"/>
          <w:sz w:val="32"/>
          <w:szCs w:val="32"/>
          <w:lang w:val="zh-CN"/>
        </w:rPr>
        <w:t>审批过程中有违法行为的，</w:t>
      </w:r>
      <w:r>
        <w:rPr>
          <w:rFonts w:hint="eastAsia" w:ascii="仿宋_GB2312" w:hAnsi="仿宋" w:eastAsia="仿宋_GB2312" w:cs="仿宋_GB2312"/>
          <w:sz w:val="32"/>
          <w:szCs w:val="32"/>
          <w:lang w:val="zh-CN"/>
        </w:rPr>
        <w:t>有权向县住建局举报，县住建局应当及时核实、处理，并将处理结果及时反馈给举报人。举报地址：祁门县住建局，举报电话：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4512045</w:t>
      </w:r>
      <w:r>
        <w:rPr>
          <w:rFonts w:hint="eastAsia" w:ascii="仿宋_GB2312" w:hAnsi="仿宋" w:eastAsia="仿宋_GB2312" w:cs="仿宋_GB2312"/>
          <w:sz w:val="32"/>
          <w:szCs w:val="32"/>
          <w:lang w:val="zh-CN"/>
        </w:rPr>
        <w:t>。</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color w:val="000000"/>
          <w:kern w:val="0"/>
          <w:sz w:val="32"/>
          <w:szCs w:val="32"/>
          <w:lang w:val="zh-CN"/>
        </w:rPr>
      </w:pPr>
      <w:r>
        <w:rPr>
          <w:rFonts w:hint="eastAsia" w:ascii="仿宋_GB2312" w:hAnsi="宋体" w:eastAsia="仿宋_GB2312"/>
          <w:color w:val="000000"/>
          <w:kern w:val="0"/>
          <w:sz w:val="32"/>
          <w:szCs w:val="32"/>
          <w:lang w:val="zh-CN"/>
        </w:rPr>
        <w:t>（二）申请人（单位）隐瞒有关真实情况或是提供虚假材料申请</w:t>
      </w:r>
      <w:r>
        <w:rPr>
          <w:rFonts w:hint="eastAsia" w:ascii="仿宋_GB2312" w:eastAsia="仿宋_GB2312"/>
          <w:sz w:val="32"/>
          <w:szCs w:val="32"/>
          <w:lang w:eastAsia="zh-CN"/>
        </w:rPr>
        <w:t>工程建设涉及城市绿地、树木</w:t>
      </w:r>
      <w:r>
        <w:rPr>
          <w:rFonts w:hint="eastAsia" w:ascii="仿宋_GB2312" w:eastAsia="仿宋_GB2312"/>
          <w:sz w:val="32"/>
          <w:szCs w:val="32"/>
        </w:rPr>
        <w:t>审批</w:t>
      </w:r>
      <w:r>
        <w:rPr>
          <w:rFonts w:hint="eastAsia" w:ascii="仿宋_GB2312" w:hAnsi="宋体" w:eastAsia="仿宋_GB2312"/>
          <w:color w:val="000000"/>
          <w:kern w:val="0"/>
          <w:sz w:val="32"/>
          <w:szCs w:val="32"/>
          <w:lang w:val="zh-CN"/>
        </w:rPr>
        <w:t>的，一经发现不予许可并给予警告，申请人（单位）在1年内不得再次申请。</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color w:val="000000"/>
          <w:kern w:val="0"/>
          <w:sz w:val="32"/>
          <w:szCs w:val="32"/>
          <w:lang w:val="zh-CN"/>
        </w:rPr>
      </w:pPr>
      <w:r>
        <w:rPr>
          <w:rFonts w:hint="eastAsia" w:ascii="仿宋_GB2312" w:hAnsi="宋体" w:eastAsia="仿宋_GB2312"/>
          <w:sz w:val="32"/>
          <w:szCs w:val="32"/>
        </w:rPr>
        <w:t>（三）行政相对人和利害关系人对</w:t>
      </w:r>
      <w:r>
        <w:rPr>
          <w:rFonts w:hint="eastAsia" w:ascii="仿宋_GB2312" w:hAnsi="宋体" w:eastAsia="仿宋_GB2312"/>
          <w:sz w:val="32"/>
          <w:szCs w:val="32"/>
          <w:lang w:eastAsia="zh-CN"/>
        </w:rPr>
        <w:t>县住建局</w:t>
      </w:r>
      <w:r>
        <w:rPr>
          <w:rFonts w:hint="eastAsia" w:ascii="仿宋_GB2312" w:hAnsi="宋体" w:eastAsia="仿宋_GB2312"/>
          <w:sz w:val="32"/>
          <w:szCs w:val="32"/>
        </w:rPr>
        <w:t>在该许可工作中作出的具体行政决定不服的，可以自收到决定之日起</w:t>
      </w:r>
      <w:r>
        <w:rPr>
          <w:rFonts w:hint="eastAsia" w:ascii="仿宋_GB2312" w:hAnsi="宋体" w:eastAsia="仿宋_GB2312"/>
          <w:color w:val="000000"/>
          <w:kern w:val="0"/>
          <w:sz w:val="32"/>
          <w:szCs w:val="32"/>
          <w:lang w:val="zh-CN"/>
        </w:rPr>
        <w:t>60日内向祁门县人民政府或市住建局申请行政复议，也可以于6个月内依法向人民法院提起行政诉讼。行政复议或者行政诉讼期间，行政决定不停止执行。</w:t>
      </w:r>
    </w:p>
    <w:p>
      <w:pPr>
        <w:keepNext w:val="0"/>
        <w:keepLines w:val="0"/>
        <w:pageBreakBefore w:val="0"/>
        <w:widowControl w:val="0"/>
        <w:kinsoku/>
        <w:wordWrap/>
        <w:overflowPunct/>
        <w:topLinePunct w:val="0"/>
        <w:bidi w:val="0"/>
        <w:snapToGrid/>
        <w:spacing w:line="560" w:lineRule="exact"/>
        <w:ind w:firstLine="640" w:firstLineChars="200"/>
        <w:outlineLvl w:val="9"/>
        <w:rPr>
          <w:rFonts w:ascii="黑体" w:hAnsi="宋体" w:eastAsia="黑体"/>
          <w:color w:val="000000"/>
          <w:kern w:val="0"/>
          <w:sz w:val="32"/>
          <w:szCs w:val="32"/>
          <w:lang w:val="zh-CN"/>
        </w:rPr>
      </w:pPr>
      <w:r>
        <w:rPr>
          <w:rFonts w:hint="eastAsia" w:ascii="黑体" w:hAnsi="宋体" w:eastAsia="黑体"/>
          <w:color w:val="000000"/>
          <w:kern w:val="0"/>
          <w:sz w:val="32"/>
          <w:szCs w:val="32"/>
          <w:lang w:val="zh-CN"/>
        </w:rPr>
        <w:t>四、责任追溯</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仿宋" w:eastAsia="仿宋_GB2312" w:cs="仿宋_GB2312"/>
          <w:sz w:val="32"/>
          <w:szCs w:val="32"/>
          <w:lang w:val="zh-CN"/>
        </w:rPr>
        <w:t>县住建局</w:t>
      </w:r>
      <w:r>
        <w:rPr>
          <w:rFonts w:hint="eastAsia" w:ascii="仿宋_GB2312" w:hAnsi="宋体" w:eastAsia="仿宋_GB2312"/>
          <w:sz w:val="32"/>
          <w:szCs w:val="32"/>
        </w:rPr>
        <w:t>在</w:t>
      </w:r>
      <w:r>
        <w:rPr>
          <w:rFonts w:hint="eastAsia" w:ascii="仿宋_GB2312" w:eastAsia="仿宋_GB2312"/>
          <w:sz w:val="32"/>
          <w:szCs w:val="32"/>
          <w:lang w:eastAsia="zh-CN"/>
        </w:rPr>
        <w:t>工程建设涉及城市绿地、树木</w:t>
      </w:r>
      <w:r>
        <w:rPr>
          <w:rFonts w:hint="eastAsia" w:ascii="仿宋_GB2312" w:eastAsia="仿宋_GB2312"/>
          <w:sz w:val="32"/>
          <w:szCs w:val="32"/>
        </w:rPr>
        <w:t>审批</w:t>
      </w:r>
      <w:r>
        <w:rPr>
          <w:rFonts w:hint="eastAsia" w:ascii="仿宋_GB2312" w:hAnsi="宋体" w:eastAsia="仿宋_GB2312"/>
          <w:sz w:val="32"/>
          <w:szCs w:val="32"/>
        </w:rPr>
        <w:t>工作中，因不履行或不正确履行行政职责，有下列情形的，按照规定对相关工作人员应予以问责：</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1.对符合条件的申请不予受理、不予许可或者不在规定期限内作出准予许可决定的；</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2.对不符合条件的申请准予许可或者超越法定权限作出准予许可决定的；</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3.</w:t>
      </w:r>
      <w:r>
        <w:rPr>
          <w:rFonts w:hint="eastAsia" w:ascii="仿宋_GB2312" w:hAnsi="宋体" w:eastAsia="仿宋_GB2312"/>
          <w:color w:val="000000"/>
          <w:kern w:val="0"/>
          <w:sz w:val="32"/>
          <w:szCs w:val="32"/>
          <w:lang w:val="zh-CN"/>
        </w:rPr>
        <w:t xml:space="preserve"> 擅自增加、变更占用绿化用地范围、用途，</w:t>
      </w:r>
      <w:r>
        <w:rPr>
          <w:rFonts w:hint="eastAsia" w:ascii="仿宋_GB2312" w:hAnsi="宋体" w:eastAsia="仿宋_GB2312"/>
          <w:sz w:val="32"/>
          <w:szCs w:val="32"/>
        </w:rPr>
        <w:t>不按规定的流程受理、审查、许可的；</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4.滥用职权、玩忽职守，造成较大经济损失的；</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5.收受贿赂、获取其他利益，或者为他人谋取不正当利益提供方便的；</w:t>
      </w:r>
    </w:p>
    <w:p>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黑体" w:hAnsi="宋体" w:eastAsia="黑体"/>
          <w:sz w:val="32"/>
          <w:szCs w:val="32"/>
          <w:lang w:eastAsia="zh-CN"/>
        </w:rPr>
      </w:pPr>
      <w:r>
        <w:rPr>
          <w:rFonts w:hint="eastAsia" w:ascii="仿宋_GB2312" w:hAnsi="宋体" w:eastAsia="仿宋_GB2312"/>
          <w:sz w:val="32"/>
          <w:szCs w:val="32"/>
        </w:rPr>
        <w:t>6.其他违反法律法规规章文件规定的行为。</w:t>
      </w:r>
    </w:p>
    <w:p>
      <w:pPr>
        <w:keepNext w:val="0"/>
        <w:keepLines w:val="0"/>
        <w:pageBreakBefore w:val="0"/>
        <w:widowControl w:val="0"/>
        <w:kinsoku/>
        <w:wordWrap/>
        <w:overflowPunct/>
        <w:topLinePunct w:val="0"/>
        <w:bidi w:val="0"/>
        <w:snapToGrid/>
        <w:spacing w:line="560" w:lineRule="exact"/>
        <w:ind w:firstLine="640" w:firstLineChars="200"/>
        <w:textAlignment w:val="baseline"/>
        <w:outlineLvl w:val="9"/>
        <w:rPr>
          <w:rFonts w:ascii="黑体" w:hAnsi="宋体" w:eastAsia="黑体"/>
          <w:sz w:val="32"/>
          <w:szCs w:val="32"/>
        </w:rPr>
      </w:pPr>
      <w:r>
        <w:rPr>
          <w:rFonts w:hint="eastAsia" w:ascii="黑体" w:hAnsi="宋体" w:eastAsia="黑体"/>
          <w:sz w:val="32"/>
          <w:szCs w:val="32"/>
        </w:rPr>
        <w:t>五、保障措施</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（一）高度重视</w:t>
      </w:r>
      <w:r>
        <w:rPr>
          <w:rFonts w:hint="eastAsia" w:ascii="仿宋_GB2312" w:eastAsia="仿宋_GB2312"/>
          <w:sz w:val="32"/>
          <w:szCs w:val="32"/>
          <w:lang w:eastAsia="zh-CN"/>
        </w:rPr>
        <w:t>工程建设涉及城市绿地、树木</w:t>
      </w:r>
      <w:r>
        <w:rPr>
          <w:rFonts w:hint="eastAsia" w:ascii="仿宋_GB2312" w:eastAsia="仿宋_GB2312"/>
          <w:sz w:val="32"/>
          <w:szCs w:val="32"/>
        </w:rPr>
        <w:t>审批</w:t>
      </w:r>
      <w:r>
        <w:rPr>
          <w:rFonts w:hint="eastAsia" w:ascii="仿宋_GB2312" w:hAnsi="宋体" w:eastAsia="仿宋_GB2312"/>
          <w:sz w:val="32"/>
          <w:szCs w:val="32"/>
        </w:rPr>
        <w:t>的事中事后监管力量，彻底解决“重审批轻监管”的问题。强化组织领导，落实保障措施，严格追责，确保事中事后监管工作有序推进。</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（二）切实加强对园林绿化工作人员的法律、法规、标准和专业知识等培训，不具备相应知识和能力的，不得从审查工作。</w:t>
      </w:r>
    </w:p>
    <w:p>
      <w:pPr>
        <w:keepNext w:val="0"/>
        <w:keepLines w:val="0"/>
        <w:pageBreakBefore w:val="0"/>
        <w:widowControl w:val="0"/>
        <w:kinsoku/>
        <w:wordWrap/>
        <w:overflowPunct/>
        <w:topLinePunct w:val="0"/>
        <w:bidi w:val="0"/>
        <w:snapToGrid/>
        <w:spacing w:line="560" w:lineRule="exact"/>
        <w:ind w:firstLine="640" w:firstLineChars="200"/>
        <w:outlineLvl w:val="9"/>
        <w:rPr>
          <w:rFonts w:ascii="仿宋_GB2312" w:hAnsi="宋体" w:eastAsia="仿宋_GB2312"/>
          <w:sz w:val="32"/>
          <w:szCs w:val="32"/>
        </w:rPr>
      </w:pPr>
      <w:r>
        <w:rPr>
          <w:rFonts w:hint="eastAsia" w:ascii="仿宋_GB2312" w:hAnsi="宋体" w:eastAsia="仿宋_GB2312"/>
          <w:sz w:val="32"/>
          <w:szCs w:val="32"/>
        </w:rPr>
        <w:t>（三）运用多种方式加强园林相关的法律法规宣传，提升管理相对人和公众的法律意识。</w:t>
      </w:r>
    </w:p>
    <w:p>
      <w:pPr>
        <w:keepNext w:val="0"/>
        <w:keepLines w:val="0"/>
        <w:pageBreakBefore w:val="0"/>
        <w:widowControl w:val="0"/>
        <w:kinsoku/>
        <w:wordWrap/>
        <w:overflowPunct/>
        <w:topLinePunct w:val="0"/>
        <w:bidi w:val="0"/>
        <w:snapToGrid/>
        <w:spacing w:line="560" w:lineRule="exact"/>
        <w:ind w:firstLine="640" w:firstLineChars="200"/>
        <w:outlineLvl w:val="9"/>
        <w:rPr>
          <w:rFonts w:ascii="黑体" w:hAnsi="宋体" w:eastAsia="黑体"/>
          <w:sz w:val="32"/>
          <w:szCs w:val="32"/>
        </w:rPr>
      </w:pPr>
      <w:r>
        <w:rPr>
          <w:rFonts w:hint="eastAsia" w:ascii="黑体" w:hAnsi="宋体" w:eastAsia="黑体"/>
          <w:sz w:val="32"/>
          <w:szCs w:val="32"/>
        </w:rPr>
        <w:t>六、主要依据</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outlineLvl w:val="9"/>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《城市绿化条例》（</w:t>
      </w:r>
      <w:r>
        <w:rPr>
          <w:rFonts w:ascii="仿宋_GB2312" w:hAnsi="宋体" w:eastAsia="仿宋_GB2312"/>
          <w:sz w:val="32"/>
          <w:szCs w:val="32"/>
        </w:rPr>
        <w:t>国务院令第676号</w:t>
      </w:r>
      <w:r>
        <w:rPr>
          <w:rFonts w:hint="eastAsia" w:ascii="仿宋_GB2312" w:hAnsi="宋体" w:eastAsia="仿宋_GB2312"/>
          <w:sz w:val="32"/>
          <w:szCs w:val="32"/>
        </w:rPr>
        <w:t>）第十九条、第二十七条。</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outlineLvl w:val="9"/>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2.《国务院关于印发清理规范投资项目报建审批事项实施方案的通知》（国发〔2016〕29号）</w:t>
      </w:r>
    </w:p>
    <w:p>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ascii="仿宋_GB2312" w:hAnsi="宋体"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01562B3D"/>
    <w:rsid w:val="01562B3D"/>
    <w:rsid w:val="15380571"/>
    <w:rsid w:val="43163F4A"/>
    <w:rsid w:val="4EB42C0C"/>
    <w:rsid w:val="56336B0D"/>
    <w:rsid w:val="7A456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2024-01-18T02:34:00Z</dcterms:created>
  <dc:creator>沉默的小布芬</dc:creator>
  <cp:lastModifiedBy>沉默的小布芬</cp:lastModifiedBy>
  <dcterms:modified xsi:type="dcterms:W3CDTF">2024-02-28T07:58:51Z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4712BF43388B42489C86ADF52BC3DEBB_11</vt:lpwstr>
  </property>
</Properties>
</file>